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1F44">
      <w:pPr>
        <w:spacing w:line="400" w:lineRule="auto"/>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霍邱县人民医院</w:t>
      </w:r>
      <w:r>
        <w:rPr>
          <w:rFonts w:hint="eastAsia" w:ascii="黑体" w:hAnsi="黑体" w:eastAsia="黑体" w:cs="黑体"/>
          <w:b/>
          <w:bCs/>
          <w:sz w:val="40"/>
          <w:szCs w:val="40"/>
        </w:rPr>
        <w:t>科</w:t>
      </w:r>
      <w:r>
        <w:rPr>
          <w:rFonts w:hint="eastAsia" w:ascii="黑体" w:hAnsi="黑体" w:eastAsia="黑体" w:cs="黑体"/>
          <w:b/>
          <w:bCs/>
          <w:sz w:val="40"/>
          <w:szCs w:val="40"/>
          <w:lang w:val="en-US" w:eastAsia="zh-CN"/>
        </w:rPr>
        <w:t>教</w:t>
      </w:r>
      <w:r>
        <w:rPr>
          <w:rFonts w:hint="eastAsia" w:ascii="黑体" w:hAnsi="黑体" w:eastAsia="黑体" w:cs="黑体"/>
          <w:b/>
          <w:bCs/>
          <w:sz w:val="40"/>
          <w:szCs w:val="40"/>
        </w:rPr>
        <w:t>研</w:t>
      </w:r>
      <w:r>
        <w:rPr>
          <w:rFonts w:hint="eastAsia" w:ascii="黑体" w:hAnsi="黑体" w:eastAsia="黑体" w:cs="黑体"/>
          <w:b/>
          <w:bCs/>
          <w:sz w:val="40"/>
          <w:szCs w:val="40"/>
          <w:lang w:val="en-US" w:eastAsia="zh-CN"/>
        </w:rPr>
        <w:t>经费配套及</w:t>
      </w:r>
    </w:p>
    <w:p w14:paraId="21B6CD21">
      <w:pPr>
        <w:spacing w:line="400" w:lineRule="auto"/>
        <w:jc w:val="center"/>
        <w:rPr>
          <w:rFonts w:hint="eastAsia" w:ascii="黑体" w:hAnsi="黑体" w:eastAsia="黑体" w:cs="黑体"/>
          <w:b/>
          <w:bCs/>
          <w:sz w:val="40"/>
          <w:szCs w:val="40"/>
        </w:rPr>
      </w:pPr>
      <w:r>
        <w:rPr>
          <w:rFonts w:hint="eastAsia" w:ascii="黑体" w:hAnsi="黑体" w:eastAsia="黑体" w:cs="黑体"/>
          <w:b/>
          <w:bCs/>
          <w:sz w:val="40"/>
          <w:szCs w:val="40"/>
          <w:lang w:val="en-US" w:eastAsia="zh-CN"/>
        </w:rPr>
        <w:t>奖励</w:t>
      </w:r>
      <w:r>
        <w:rPr>
          <w:rFonts w:hint="eastAsia" w:ascii="黑体" w:hAnsi="黑体" w:eastAsia="黑体" w:cs="黑体"/>
          <w:b/>
          <w:bCs/>
          <w:sz w:val="40"/>
          <w:szCs w:val="40"/>
        </w:rPr>
        <w:t>办法</w:t>
      </w:r>
    </w:p>
    <w:p w14:paraId="416671BE">
      <w:pPr>
        <w:jc w:val="center"/>
        <w:rPr>
          <w:rFonts w:hint="eastAsia"/>
          <w:b/>
          <w:bCs/>
          <w:sz w:val="40"/>
          <w:szCs w:val="40"/>
        </w:rPr>
      </w:pPr>
      <w:r>
        <w:rPr>
          <w:rFonts w:hint="eastAsia" w:ascii="黑体" w:hAnsi="黑体" w:eastAsia="黑体" w:cs="黑体"/>
          <w:b/>
          <w:bCs/>
          <w:sz w:val="40"/>
          <w:szCs w:val="40"/>
        </w:rPr>
        <w:t>（</w:t>
      </w:r>
      <w:r>
        <w:rPr>
          <w:rFonts w:hint="eastAsia" w:ascii="黑体" w:hAnsi="黑体" w:eastAsia="黑体" w:cs="黑体"/>
          <w:b/>
          <w:bCs/>
          <w:sz w:val="40"/>
          <w:szCs w:val="40"/>
          <w:lang w:val="en-US" w:eastAsia="zh-CN"/>
        </w:rPr>
        <w:t>试行</w:t>
      </w:r>
      <w:r>
        <w:rPr>
          <w:rFonts w:hint="eastAsia" w:ascii="黑体" w:hAnsi="黑体" w:eastAsia="黑体" w:cs="黑体"/>
          <w:b/>
          <w:bCs/>
          <w:sz w:val="40"/>
          <w:szCs w:val="40"/>
        </w:rPr>
        <w:t>）</w:t>
      </w:r>
    </w:p>
    <w:p w14:paraId="3070081A">
      <w:pPr>
        <w:jc w:val="center"/>
        <w:rPr>
          <w:rFonts w:hint="eastAsia" w:ascii="黑体" w:hAnsi="黑体" w:eastAsia="黑体" w:cs="黑体"/>
          <w:b/>
          <w:bCs/>
          <w:sz w:val="32"/>
          <w:szCs w:val="32"/>
        </w:rPr>
      </w:pPr>
    </w:p>
    <w:p w14:paraId="664C8217">
      <w:pPr>
        <w:jc w:val="center"/>
        <w:rPr>
          <w:rFonts w:hint="eastAsia" w:ascii="黑体" w:hAnsi="黑体" w:eastAsia="黑体" w:cs="黑体"/>
          <w:b/>
          <w:bCs/>
          <w:sz w:val="32"/>
          <w:szCs w:val="32"/>
        </w:rPr>
      </w:pPr>
      <w:r>
        <w:rPr>
          <w:rFonts w:hint="eastAsia" w:ascii="黑体" w:hAnsi="黑体" w:eastAsia="黑体" w:cs="黑体"/>
          <w:b/>
          <w:bCs/>
          <w:sz w:val="32"/>
          <w:szCs w:val="32"/>
        </w:rPr>
        <w:t>第一章    总则</w:t>
      </w:r>
    </w:p>
    <w:p w14:paraId="4B8A9B9B">
      <w:pPr>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进一步规范医院科研工作，深化落实科技兴院发展战略布署，体现科研工作的严谨性、科学性、创新性，鼓励广大专业技术人员积极撰写论文、参加科研活动，提升我院科研工作能力和科技内涵，促进医院科教创新，</w:t>
      </w:r>
      <w:r>
        <w:rPr>
          <w:rFonts w:hint="eastAsia" w:ascii="仿宋" w:hAnsi="仿宋" w:eastAsia="仿宋" w:cs="仿宋"/>
          <w:sz w:val="32"/>
          <w:szCs w:val="32"/>
          <w:lang w:val="en-US" w:eastAsia="zh-CN"/>
        </w:rPr>
        <w:t>根据《关于破除科技评价中“唯论文”不良导向的若干措施（试行）的通知》（皖科监密﹝2020﹞80号）和</w:t>
      </w:r>
      <w:r>
        <w:rPr>
          <w:rFonts w:hint="eastAsia" w:ascii="仿宋" w:hAnsi="仿宋" w:eastAsia="仿宋" w:cs="仿宋"/>
          <w:b w:val="0"/>
          <w:bCs w:val="0"/>
          <w:sz w:val="30"/>
          <w:szCs w:val="30"/>
          <w:lang w:val="en-US" w:eastAsia="zh-CN"/>
        </w:rPr>
        <w:t>《关于改革完善省级财政科研经费管理的若干措施》（皖财教〔2022〕134号）</w:t>
      </w:r>
      <w:r>
        <w:rPr>
          <w:rFonts w:hint="eastAsia" w:ascii="仿宋" w:hAnsi="仿宋" w:eastAsia="仿宋" w:cs="仿宋"/>
          <w:sz w:val="32"/>
          <w:szCs w:val="32"/>
          <w:lang w:val="en-US" w:eastAsia="zh-CN"/>
        </w:rPr>
        <w:t>等文件精神，以及借鉴国内知名医院的先进管理经验，结合我院实际情况，</w:t>
      </w:r>
      <w:r>
        <w:rPr>
          <w:rFonts w:hint="eastAsia" w:ascii="仿宋" w:hAnsi="仿宋" w:eastAsia="仿宋" w:cs="仿宋"/>
          <w:sz w:val="32"/>
          <w:szCs w:val="32"/>
        </w:rPr>
        <w:t>特</w:t>
      </w:r>
      <w:r>
        <w:rPr>
          <w:rFonts w:hint="eastAsia" w:ascii="仿宋" w:hAnsi="仿宋" w:eastAsia="仿宋" w:cs="仿宋"/>
          <w:sz w:val="32"/>
          <w:szCs w:val="32"/>
          <w:lang w:val="en-US" w:eastAsia="zh-CN"/>
        </w:rPr>
        <w:t>制定</w:t>
      </w:r>
      <w:r>
        <w:rPr>
          <w:rFonts w:hint="eastAsia" w:ascii="仿宋" w:hAnsi="仿宋" w:eastAsia="仿宋" w:cs="仿宋"/>
          <w:sz w:val="32"/>
          <w:szCs w:val="32"/>
        </w:rPr>
        <w:t>本办法。</w:t>
      </w:r>
    </w:p>
    <w:p w14:paraId="4F7410C8">
      <w:pPr>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第二条 </w:t>
      </w:r>
      <w:r>
        <w:rPr>
          <w:rFonts w:hint="eastAsia" w:ascii="仿宋" w:hAnsi="仿宋" w:eastAsia="仿宋" w:cs="仿宋"/>
          <w:b w:val="0"/>
          <w:bCs w:val="0"/>
          <w:sz w:val="32"/>
          <w:szCs w:val="32"/>
          <w:lang w:val="en-US" w:eastAsia="zh-CN"/>
        </w:rPr>
        <w:t>本办法管理范围包括：科研项目、科技成果、学术论文、学术著作、发明专利、临床教学等。</w:t>
      </w:r>
      <w:r>
        <w:rPr>
          <w:rFonts w:hint="eastAsia" w:ascii="仿宋" w:hAnsi="仿宋" w:eastAsia="仿宋" w:cs="仿宋"/>
          <w:b/>
          <w:bCs/>
          <w:sz w:val="32"/>
          <w:szCs w:val="32"/>
          <w:lang w:val="en-US" w:eastAsia="zh-CN"/>
        </w:rPr>
        <w:t xml:space="preserve"> </w:t>
      </w:r>
    </w:p>
    <w:p w14:paraId="2A7CDF2B">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w:t>
      </w:r>
      <w:r>
        <w:rPr>
          <w:rFonts w:hint="eastAsia" w:ascii="仿宋" w:hAnsi="仿宋" w:eastAsia="仿宋" w:cs="仿宋"/>
          <w:sz w:val="32"/>
          <w:szCs w:val="32"/>
          <w:lang w:val="en-US" w:eastAsia="zh-CN"/>
        </w:rPr>
        <w:t>经费范围和人员规定</w:t>
      </w:r>
      <w:r>
        <w:rPr>
          <w:rFonts w:hint="eastAsia" w:ascii="仿宋" w:hAnsi="仿宋" w:eastAsia="仿宋" w:cs="仿宋"/>
          <w:sz w:val="32"/>
          <w:szCs w:val="32"/>
        </w:rPr>
        <w:t>：</w:t>
      </w:r>
      <w:r>
        <w:rPr>
          <w:rFonts w:hint="eastAsia" w:ascii="仿宋" w:hAnsi="仿宋" w:eastAsia="仿宋" w:cs="仿宋"/>
          <w:sz w:val="32"/>
          <w:szCs w:val="32"/>
          <w:lang w:val="en-US" w:eastAsia="zh-CN"/>
        </w:rPr>
        <w:t>本办法除科技成果、著作外，其余所有经费项目原则上均须署名安医大二附院霍邱医院（霍邱县人民医院）为第一（完成）单位，我院员工为项目第一负责人。</w:t>
      </w:r>
    </w:p>
    <w:p w14:paraId="71C3A5BB">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经费分配原则</w:t>
      </w:r>
    </w:p>
    <w:p w14:paraId="0B61651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研项目、论文、著作、专利等先进个人类经费分配至第一作者或第一负责人；先进集体类由项目负责人或学科带头人根据贡献大小再行分配。科研项目立项、验收、成果等奖励原则上需要进行二次分配。如涉及在建设过程中有其他学科人员作为学科骨干或做出突出贡献的，由项目负责人根据贡献大小给予分配。</w:t>
      </w:r>
    </w:p>
    <w:p w14:paraId="68D0EF81">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2、以上分配方案须报科教科备案。</w:t>
      </w:r>
    </w:p>
    <w:p w14:paraId="79B792D3">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凡申请资助、奖励者，所有刊物、项目、著作、成果或奖励证书，须审核原件并交复印件或原件扫描件1份留科教科存档，具体申报、审批程序按照医院财务相关管理规定和院长办公会、党委会议事原则执行。</w:t>
      </w:r>
    </w:p>
    <w:p w14:paraId="1BD40693">
      <w:pPr>
        <w:ind w:firstLine="640" w:firstLineChars="200"/>
        <w:rPr>
          <w:rFonts w:hint="eastAsia" w:ascii="仿宋" w:hAnsi="仿宋" w:eastAsia="仿宋" w:cs="仿宋"/>
          <w:sz w:val="32"/>
          <w:szCs w:val="32"/>
          <w:lang w:val="en-US" w:eastAsia="zh-CN"/>
        </w:rPr>
      </w:pPr>
    </w:p>
    <w:p w14:paraId="5D499AA5">
      <w:pPr>
        <w:ind w:firstLine="640" w:firstLineChars="200"/>
        <w:rPr>
          <w:rFonts w:hint="eastAsia" w:ascii="仿宋" w:hAnsi="仿宋" w:eastAsia="仿宋" w:cs="仿宋"/>
          <w:sz w:val="32"/>
          <w:szCs w:val="32"/>
          <w:lang w:val="en-US" w:eastAsia="zh-CN"/>
        </w:rPr>
      </w:pPr>
    </w:p>
    <w:p w14:paraId="4D8CE5EE">
      <w:pPr>
        <w:ind w:firstLine="640" w:firstLineChars="200"/>
        <w:rPr>
          <w:rFonts w:hint="eastAsia" w:ascii="仿宋" w:hAnsi="仿宋" w:eastAsia="仿宋" w:cs="仿宋"/>
          <w:sz w:val="32"/>
          <w:szCs w:val="32"/>
          <w:lang w:val="en-US" w:eastAsia="zh-CN"/>
        </w:rPr>
      </w:pPr>
    </w:p>
    <w:p w14:paraId="16E77E44">
      <w:pPr>
        <w:ind w:firstLine="640" w:firstLineChars="200"/>
        <w:rPr>
          <w:rFonts w:hint="eastAsia" w:ascii="仿宋" w:hAnsi="仿宋" w:eastAsia="仿宋" w:cs="仿宋"/>
          <w:sz w:val="32"/>
          <w:szCs w:val="32"/>
          <w:lang w:val="en-US" w:eastAsia="zh-CN"/>
        </w:rPr>
      </w:pPr>
    </w:p>
    <w:p w14:paraId="52E8201D">
      <w:pPr>
        <w:ind w:firstLine="640" w:firstLineChars="200"/>
        <w:rPr>
          <w:rFonts w:hint="eastAsia" w:ascii="仿宋" w:hAnsi="仿宋" w:eastAsia="仿宋" w:cs="仿宋"/>
          <w:sz w:val="32"/>
          <w:szCs w:val="32"/>
          <w:lang w:val="en-US" w:eastAsia="zh-CN"/>
        </w:rPr>
      </w:pPr>
    </w:p>
    <w:p w14:paraId="110BC5F0">
      <w:pPr>
        <w:ind w:firstLine="640" w:firstLineChars="200"/>
        <w:rPr>
          <w:rFonts w:hint="eastAsia" w:ascii="仿宋" w:hAnsi="仿宋" w:eastAsia="仿宋" w:cs="仿宋"/>
          <w:sz w:val="32"/>
          <w:szCs w:val="32"/>
          <w:lang w:val="en-US" w:eastAsia="zh-CN"/>
        </w:rPr>
      </w:pPr>
    </w:p>
    <w:p w14:paraId="6BFC5DD5">
      <w:pPr>
        <w:ind w:firstLine="640" w:firstLineChars="200"/>
        <w:rPr>
          <w:rFonts w:hint="eastAsia" w:ascii="仿宋" w:hAnsi="仿宋" w:eastAsia="仿宋" w:cs="仿宋"/>
          <w:sz w:val="32"/>
          <w:szCs w:val="32"/>
          <w:lang w:val="en-US" w:eastAsia="zh-CN"/>
        </w:rPr>
      </w:pPr>
    </w:p>
    <w:p w14:paraId="3E8F95F8">
      <w:pPr>
        <w:ind w:firstLine="640" w:firstLineChars="200"/>
        <w:rPr>
          <w:rFonts w:hint="eastAsia" w:ascii="仿宋" w:hAnsi="仿宋" w:eastAsia="仿宋" w:cs="仿宋"/>
          <w:sz w:val="32"/>
          <w:szCs w:val="32"/>
          <w:lang w:val="en-US" w:eastAsia="zh-CN"/>
        </w:rPr>
      </w:pPr>
    </w:p>
    <w:p w14:paraId="443B61F4">
      <w:pPr>
        <w:ind w:firstLine="640" w:firstLineChars="200"/>
        <w:rPr>
          <w:rFonts w:hint="eastAsia" w:ascii="仿宋" w:hAnsi="仿宋" w:eastAsia="仿宋" w:cs="仿宋"/>
          <w:sz w:val="32"/>
          <w:szCs w:val="32"/>
          <w:lang w:val="en-US" w:eastAsia="zh-CN"/>
        </w:rPr>
      </w:pPr>
    </w:p>
    <w:p w14:paraId="49618CDD">
      <w:pPr>
        <w:ind w:firstLine="640" w:firstLineChars="200"/>
        <w:rPr>
          <w:rFonts w:hint="eastAsia" w:ascii="仿宋" w:hAnsi="仿宋" w:eastAsia="仿宋" w:cs="仿宋"/>
          <w:sz w:val="32"/>
          <w:szCs w:val="32"/>
          <w:lang w:val="en-US" w:eastAsia="zh-CN"/>
        </w:rPr>
      </w:pPr>
    </w:p>
    <w:p w14:paraId="5E9B6BE4">
      <w:pPr>
        <w:ind w:firstLine="640" w:firstLineChars="200"/>
        <w:rPr>
          <w:rFonts w:hint="eastAsia" w:ascii="仿宋" w:hAnsi="仿宋" w:eastAsia="仿宋" w:cs="仿宋"/>
          <w:sz w:val="32"/>
          <w:szCs w:val="32"/>
          <w:lang w:val="en-US" w:eastAsia="zh-CN"/>
        </w:rPr>
      </w:pPr>
    </w:p>
    <w:p w14:paraId="1AED1525">
      <w:pPr>
        <w:rPr>
          <w:rFonts w:hint="default" w:ascii="仿宋" w:hAnsi="仿宋" w:eastAsia="仿宋" w:cs="仿宋"/>
          <w:sz w:val="32"/>
          <w:szCs w:val="32"/>
          <w:lang w:val="en-US" w:eastAsia="zh-CN"/>
        </w:rPr>
      </w:pPr>
    </w:p>
    <w:p w14:paraId="6CDBA271">
      <w:pPr>
        <w:jc w:val="center"/>
        <w:rPr>
          <w:rFonts w:hint="eastAsia" w:ascii="黑体" w:hAnsi="黑体" w:eastAsia="黑体" w:cs="黑体"/>
          <w:b/>
          <w:bCs/>
          <w:sz w:val="32"/>
          <w:szCs w:val="32"/>
          <w:lang w:eastAsia="zh-CN"/>
        </w:rPr>
      </w:pPr>
      <w:r>
        <w:rPr>
          <w:rFonts w:hint="eastAsia" w:ascii="黑体" w:hAnsi="黑体" w:eastAsia="黑体" w:cs="黑体"/>
          <w:b/>
          <w:bCs/>
          <w:sz w:val="32"/>
          <w:szCs w:val="32"/>
        </w:rPr>
        <w:t xml:space="preserve">第二章    </w:t>
      </w:r>
      <w:r>
        <w:rPr>
          <w:rFonts w:hint="eastAsia" w:ascii="黑体" w:hAnsi="黑体" w:eastAsia="黑体" w:cs="黑体"/>
          <w:b/>
          <w:bCs/>
          <w:sz w:val="32"/>
          <w:szCs w:val="32"/>
          <w:lang w:val="en-US" w:eastAsia="zh-CN"/>
        </w:rPr>
        <w:t>科研项目</w:t>
      </w:r>
    </w:p>
    <w:p w14:paraId="08E84B0F">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第六条  科研项目经费配套与奖励</w:t>
      </w:r>
    </w:p>
    <w:p w14:paraId="53321E6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科研项目配套与奖励范围</w:t>
      </w:r>
    </w:p>
    <w:p w14:paraId="5D4B180B">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1、省部级项目：国家部委（科技部除外）下发的计划项目，安徽省科技厅、安徽省卫健委、安徽省教育厅等下达的计划项目以及其他相应等级的其他项目。</w:t>
      </w:r>
    </w:p>
    <w:p w14:paraId="1FA42DB8">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2、市级项目：六安市卫健委、六安市科技局等下达的计划项目及相应等级的其他项目。</w:t>
      </w:r>
    </w:p>
    <w:p w14:paraId="5CBAD250">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（二）科研项目经费配套与立项奖励</w:t>
      </w:r>
    </w:p>
    <w:p w14:paraId="74FCA185">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1、对获批立项的省部级、市级项目，分别按照财拨经费的1:2和1:1.5配套（有文件要求的以文件要求配套）。按照项目经费的30%和20%发放立项奖励。</w:t>
      </w:r>
    </w:p>
    <w:p w14:paraId="3DFBC9EF">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2、横向课题不予配套，按照协议执行。</w:t>
      </w:r>
    </w:p>
    <w:p w14:paraId="68541D68">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无经费来源的自筹项目：卫健委、教育厅等主管部门发布的按照其一般项目配套经费（有文件要求的以文件要求配套）；院校合作的按照协议给予配套经费；院企合作的一般不配套，确需配套的由承担科室向医院提出申请，医院学术委员会讨论，院长办公会或党委会研究后确定。</w:t>
      </w:r>
    </w:p>
    <w:p w14:paraId="4F77960F">
      <w:p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4、科研立项奖励从配套经费中支出。</w:t>
      </w:r>
    </w:p>
    <w:p w14:paraId="7958154A">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第七条 科研课题验收奖励</w:t>
      </w:r>
    </w:p>
    <w:p w14:paraId="25596D4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科研项目如期顺利通过结题验收，凭借验收相关证明材料发放科研立项奖励。</w:t>
      </w:r>
    </w:p>
    <w:p w14:paraId="1A6F02C5">
      <w:p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第八条 科研成果奖励</w:t>
      </w:r>
    </w:p>
    <w:p w14:paraId="703909DF">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第一完成人和第一完成单位均为安医大二附院霍邱医院（霍邱县人民医院）的科研成果奖励，除各级主管部门配套的奖金全额发放外，省政府颁发的科学技术奖（自然科学奖、技术发明奖、科技进步奖）按照一等奖1:4、二等奖1:2、三等奖1:1配套发放奖励，省级及以上行业协会、卫生、教育等部门颁发的科学技术奖予以奖金的1：1配套发放奖励，其他各类成果奖励依规发放，原则上不予配套发放奖励，无奖励经费的成果，原则上不予奖励。</w:t>
      </w:r>
    </w:p>
    <w:p w14:paraId="788681BE">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2、我院作为合作单位获得科技进步奖列入奖励，若我院为第二及第三完成单位，</w:t>
      </w:r>
      <w:r>
        <w:rPr>
          <w:rFonts w:hint="eastAsia" w:ascii="仿宋" w:hAnsi="仿宋" w:eastAsia="仿宋" w:cs="仿宋"/>
          <w:b w:val="0"/>
          <w:bCs w:val="0"/>
          <w:color w:val="auto"/>
          <w:sz w:val="32"/>
          <w:szCs w:val="32"/>
          <w:lang w:val="en-US" w:eastAsia="zh-CN"/>
        </w:rPr>
        <w:t>省政府颁发的科学技术奖（自然科学奖、技术发明奖、科技进步奖）予以课题小组20000元奖励，省级及以上行业协会、卫生、教育等部门颁发的科学技术奖予以课题小组10000元奖励；若我院为第四及第五完成单位，省政府颁发的科学技术奖（自然科学奖、技术发明奖、科技进步奖）予以课题小组6000元奖励，省级及以上行业协会、卫生、教育等部门颁发的科学技术奖予以课题小组4000元奖励。</w:t>
      </w:r>
    </w:p>
    <w:p w14:paraId="45A1F9D3">
      <w:pPr>
        <w:jc w:val="center"/>
        <w:rPr>
          <w:rFonts w:hint="eastAsia" w:ascii="黑体" w:hAnsi="黑体" w:eastAsia="黑体" w:cs="黑体"/>
          <w:b/>
          <w:bCs/>
          <w:sz w:val="32"/>
          <w:szCs w:val="32"/>
          <w:lang w:val="en-US" w:eastAsia="zh-CN"/>
        </w:rPr>
      </w:pPr>
    </w:p>
    <w:p w14:paraId="3766957D">
      <w:pPr>
        <w:jc w:val="center"/>
        <w:rPr>
          <w:rFonts w:hint="eastAsia" w:ascii="黑体" w:hAnsi="黑体" w:eastAsia="黑体" w:cs="黑体"/>
          <w:b/>
          <w:bCs/>
          <w:sz w:val="32"/>
          <w:szCs w:val="32"/>
          <w:lang w:val="en-US" w:eastAsia="zh-CN"/>
        </w:rPr>
      </w:pPr>
    </w:p>
    <w:p w14:paraId="75882E09">
      <w:pPr>
        <w:jc w:val="center"/>
        <w:rPr>
          <w:rFonts w:hint="eastAsia" w:ascii="黑体" w:hAnsi="黑体" w:eastAsia="黑体" w:cs="黑体"/>
          <w:b/>
          <w:bCs/>
          <w:sz w:val="32"/>
          <w:szCs w:val="32"/>
          <w:lang w:val="en-US" w:eastAsia="zh-CN"/>
        </w:rPr>
      </w:pPr>
    </w:p>
    <w:p w14:paraId="43CB6746">
      <w:pPr>
        <w:jc w:val="both"/>
        <w:rPr>
          <w:rFonts w:hint="eastAsia" w:ascii="黑体" w:hAnsi="黑体" w:eastAsia="黑体" w:cs="黑体"/>
          <w:b/>
          <w:bCs/>
          <w:sz w:val="32"/>
          <w:szCs w:val="32"/>
          <w:lang w:val="en-US" w:eastAsia="zh-CN"/>
        </w:rPr>
      </w:pPr>
    </w:p>
    <w:p w14:paraId="77EA7DA2">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第三章  论文、著作、专利</w:t>
      </w:r>
    </w:p>
    <w:p w14:paraId="404F9F26">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第九条 论文</w:t>
      </w:r>
    </w:p>
    <w:p w14:paraId="5086BBD1">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（一）奖励原则</w:t>
      </w:r>
    </w:p>
    <w:p w14:paraId="044E2963">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1、论文的作者必须是我院在岗职工并以我院名义在公开发行的刊物上发表，论文内容必须与作者本专业相关。</w:t>
      </w:r>
    </w:p>
    <w:p w14:paraId="375F0246">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2、发表论文的刊物应为具有国际标准刊号ISSN的国家级刊物（国内统一刊号CN），并能在中华人民共和国新闻出版总署网站上查询核实。</w:t>
      </w:r>
    </w:p>
    <w:p w14:paraId="43365D98">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3、无原始资料或缺乏真实性的论文，以及未经科教科审核的学术论文，则无论文奖励。发表后，论文作者必须提供原件及相关复印件到科教科登记备案。</w:t>
      </w:r>
    </w:p>
    <w:p w14:paraId="70126872">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4、多人合作的论文，原则上只予第一作者或通讯作者论文奖励，第一作者和通讯作者都是本单位的，只奖励第一作者；多名通讯作者为本单位的，只奖励排名第一位的通讯作者。</w:t>
      </w:r>
    </w:p>
    <w:p w14:paraId="2AC89481">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5、公开发表的学术论文包括基础医学、临床医学、护理学、医院管理或医学教育等方面的研究论著、综述、个案报道等，但必须符合相关规定的要求。</w:t>
      </w:r>
    </w:p>
    <w:p w14:paraId="11127424">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6、各类增刊、电子刊物、内部刊物、学术交流文章等原则上无奖励。</w:t>
      </w:r>
    </w:p>
    <w:p w14:paraId="64EB94F4">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（二）普通论文奖励</w:t>
      </w:r>
    </w:p>
    <w:p w14:paraId="5814501D">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方案一：对我院正式员工以第一作者（我院为第一单位）发表的普通论文版面费报销封顶2000元，另外再奖励500元。</w:t>
      </w:r>
    </w:p>
    <w:p w14:paraId="7D977160">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方案二：对我院正式员工以第一作者（我院为第一单位）发表的在知网、万方收录的普通论文版面费报销封顶3000元，另外再奖励500元；其他类别的，对我院正式员工以第一作者（我院为第一单位）发表的普通论文版面费报销封顶1500元，另外再奖励500元。</w:t>
      </w:r>
    </w:p>
    <w:p w14:paraId="08FB4B76">
      <w:p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（三）高水平论文奖励</w:t>
      </w:r>
    </w:p>
    <w:p w14:paraId="6505FEB4">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对我院正式员工以第一作者（我院为第一单位）</w:t>
      </w:r>
      <w:bookmarkStart w:id="0" w:name="_GoBack"/>
      <w:bookmarkEnd w:id="0"/>
      <w:r>
        <w:rPr>
          <w:rFonts w:hint="eastAsia" w:ascii="仿宋" w:hAnsi="仿宋" w:eastAsia="仿宋" w:cs="仿宋"/>
          <w:b w:val="0"/>
          <w:bCs w:val="0"/>
          <w:sz w:val="32"/>
          <w:szCs w:val="32"/>
          <w:lang w:val="en-US" w:eastAsia="zh-CN"/>
        </w:rPr>
        <w:t>发表的高水平论文版面费据实凭发票报销，并给予以下奖励：</w:t>
      </w:r>
    </w:p>
    <w:p w14:paraId="1DA1C32D">
      <w:pPr>
        <w:numPr>
          <w:ilvl w:val="0"/>
          <w:numId w:val="0"/>
        </w:num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方案一：</w:t>
      </w:r>
    </w:p>
    <w:p w14:paraId="590701CF">
      <w:pPr>
        <w:numPr>
          <w:ilvl w:val="0"/>
          <w:numId w:val="1"/>
        </w:numPr>
        <w:ind w:left="-40" w:leftChars="0" w:firstLine="640" w:firstLineChars="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SCI（科学引文索引）收录的、非增刊发表的原创研究性论文，依据文章发表当年的影响因子及中科院大类分区情况，影响因子</w:t>
      </w:r>
      <w:r>
        <w:rPr>
          <w:rFonts w:hint="default" w:ascii="Arial" w:hAnsi="Arial" w:eastAsia="仿宋" w:cs="Arial"/>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5分的，按照</w:t>
      </w:r>
      <w:r>
        <w:rPr>
          <w:rFonts w:hint="eastAsia" w:ascii="宋体" w:hAnsi="宋体" w:eastAsia="宋体" w:cs="宋体"/>
          <w:b w:val="0"/>
          <w:bCs w:val="0"/>
          <w:color w:val="auto"/>
          <w:sz w:val="32"/>
          <w:szCs w:val="32"/>
          <w:lang w:val="en-US" w:eastAsia="zh-CN"/>
        </w:rPr>
        <w:t>Ⅰ区30000元/分、Ⅱ区20000元/分、Ⅲ区</w:t>
      </w:r>
      <w:r>
        <w:rPr>
          <w:rFonts w:hint="eastAsia" w:ascii="仿宋" w:hAnsi="仿宋" w:eastAsia="仿宋" w:cs="仿宋"/>
          <w:b w:val="0"/>
          <w:bCs w:val="0"/>
          <w:color w:val="auto"/>
          <w:sz w:val="32"/>
          <w:szCs w:val="32"/>
          <w:lang w:val="en-US" w:eastAsia="zh-CN"/>
        </w:rPr>
        <w:t>10000元/分、</w:t>
      </w:r>
      <w:r>
        <w:rPr>
          <w:rFonts w:hint="eastAsia" w:ascii="宋体" w:hAnsi="宋体" w:eastAsia="宋体" w:cs="宋体"/>
          <w:b w:val="0"/>
          <w:bCs w:val="0"/>
          <w:color w:val="auto"/>
          <w:sz w:val="32"/>
          <w:szCs w:val="32"/>
          <w:lang w:val="en-US" w:eastAsia="zh-CN"/>
        </w:rPr>
        <w:t>Ⅳ</w:t>
      </w:r>
      <w:r>
        <w:rPr>
          <w:rFonts w:hint="eastAsia" w:ascii="宋体" w:hAnsi="宋体" w:cs="宋体"/>
          <w:b w:val="0"/>
          <w:bCs w:val="0"/>
          <w:color w:val="auto"/>
          <w:sz w:val="32"/>
          <w:szCs w:val="32"/>
          <w:lang w:val="en-US" w:eastAsia="zh-CN"/>
        </w:rPr>
        <w:t>区5000元/分</w:t>
      </w:r>
      <w:r>
        <w:rPr>
          <w:rFonts w:hint="eastAsia" w:ascii="仿宋" w:hAnsi="仿宋" w:eastAsia="仿宋" w:cs="仿宋"/>
          <w:b w:val="0"/>
          <w:bCs w:val="0"/>
          <w:color w:val="auto"/>
          <w:sz w:val="32"/>
          <w:szCs w:val="32"/>
          <w:lang w:val="en-US" w:eastAsia="zh-CN"/>
        </w:rPr>
        <w:t>发放奖励，封顶100000元。影响因子&gt;5分，按照</w:t>
      </w:r>
      <w:r>
        <w:rPr>
          <w:rFonts w:hint="eastAsia" w:ascii="宋体" w:hAnsi="宋体" w:eastAsia="宋体" w:cs="宋体"/>
          <w:b w:val="0"/>
          <w:bCs w:val="0"/>
          <w:color w:val="auto"/>
          <w:sz w:val="32"/>
          <w:szCs w:val="32"/>
          <w:lang w:val="en-US" w:eastAsia="zh-CN"/>
        </w:rPr>
        <w:t>Ⅰ区</w:t>
      </w:r>
      <w:r>
        <w:rPr>
          <w:rFonts w:hint="eastAsia" w:ascii="宋体" w:hAnsi="宋体" w:cs="宋体"/>
          <w:b w:val="0"/>
          <w:bCs w:val="0"/>
          <w:color w:val="auto"/>
          <w:sz w:val="32"/>
          <w:szCs w:val="32"/>
          <w:lang w:val="en-US" w:eastAsia="zh-CN"/>
        </w:rPr>
        <w:t>10</w:t>
      </w:r>
      <w:r>
        <w:rPr>
          <w:rFonts w:hint="eastAsia" w:ascii="宋体" w:hAnsi="宋体" w:eastAsia="宋体" w:cs="宋体"/>
          <w:b w:val="0"/>
          <w:bCs w:val="0"/>
          <w:color w:val="auto"/>
          <w:sz w:val="32"/>
          <w:szCs w:val="32"/>
          <w:lang w:val="en-US" w:eastAsia="zh-CN"/>
        </w:rPr>
        <w:t>0000元/分、Ⅱ区</w:t>
      </w:r>
      <w:r>
        <w:rPr>
          <w:rFonts w:hint="eastAsia" w:ascii="宋体" w:hAnsi="宋体" w:cs="宋体"/>
          <w:b w:val="0"/>
          <w:bCs w:val="0"/>
          <w:color w:val="auto"/>
          <w:sz w:val="32"/>
          <w:szCs w:val="32"/>
          <w:lang w:val="en-US" w:eastAsia="zh-CN"/>
        </w:rPr>
        <w:t>8</w:t>
      </w:r>
      <w:r>
        <w:rPr>
          <w:rFonts w:hint="eastAsia" w:ascii="宋体" w:hAnsi="宋体" w:eastAsia="宋体" w:cs="宋体"/>
          <w:b w:val="0"/>
          <w:bCs w:val="0"/>
          <w:color w:val="auto"/>
          <w:sz w:val="32"/>
          <w:szCs w:val="32"/>
          <w:lang w:val="en-US" w:eastAsia="zh-CN"/>
        </w:rPr>
        <w:t>0000元/分、Ⅲ区</w:t>
      </w:r>
      <w:r>
        <w:rPr>
          <w:rFonts w:hint="eastAsia" w:ascii="仿宋" w:hAnsi="仿宋" w:eastAsia="仿宋" w:cs="仿宋"/>
          <w:b w:val="0"/>
          <w:bCs w:val="0"/>
          <w:color w:val="auto"/>
          <w:sz w:val="32"/>
          <w:szCs w:val="32"/>
          <w:lang w:val="en-US" w:eastAsia="zh-CN"/>
        </w:rPr>
        <w:t>50000元/分、</w:t>
      </w:r>
      <w:r>
        <w:rPr>
          <w:rFonts w:hint="eastAsia" w:ascii="宋体" w:hAnsi="宋体" w:eastAsia="宋体" w:cs="宋体"/>
          <w:b w:val="0"/>
          <w:bCs w:val="0"/>
          <w:color w:val="auto"/>
          <w:sz w:val="32"/>
          <w:szCs w:val="32"/>
          <w:lang w:val="en-US" w:eastAsia="zh-CN"/>
        </w:rPr>
        <w:t>Ⅳ</w:t>
      </w:r>
      <w:r>
        <w:rPr>
          <w:rFonts w:hint="eastAsia" w:ascii="宋体" w:hAnsi="宋体" w:cs="宋体"/>
          <w:b w:val="0"/>
          <w:bCs w:val="0"/>
          <w:color w:val="auto"/>
          <w:sz w:val="32"/>
          <w:szCs w:val="32"/>
          <w:lang w:val="en-US" w:eastAsia="zh-CN"/>
        </w:rPr>
        <w:t>区20000元/分</w:t>
      </w:r>
      <w:r>
        <w:rPr>
          <w:rFonts w:hint="eastAsia" w:ascii="仿宋" w:hAnsi="仿宋" w:eastAsia="仿宋" w:cs="仿宋"/>
          <w:b w:val="0"/>
          <w:bCs w:val="0"/>
          <w:color w:val="auto"/>
          <w:sz w:val="32"/>
          <w:szCs w:val="32"/>
          <w:lang w:val="en-US" w:eastAsia="zh-CN"/>
        </w:rPr>
        <w:t>发放奖励，封顶200000元。以Report（报告、汇报）等形式发表的SCI论文，按照国内其他核心期刊类发放奖励。</w:t>
      </w:r>
    </w:p>
    <w:p w14:paraId="08D7F5E0">
      <w:pPr>
        <w:numPr>
          <w:ilvl w:val="0"/>
          <w:numId w:val="1"/>
        </w:numPr>
        <w:ind w:left="-40" w:leftChars="0" w:firstLine="64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w:t>
      </w:r>
      <w:r>
        <w:rPr>
          <w:rFonts w:hint="eastAsia" w:ascii="仿宋" w:hAnsi="仿宋" w:eastAsia="仿宋" w:cs="仿宋"/>
          <w:b w:val="0"/>
          <w:bCs w:val="0"/>
          <w:color w:val="auto"/>
          <w:sz w:val="32"/>
          <w:szCs w:val="32"/>
          <w:lang w:val="en-US" w:eastAsia="zh-CN"/>
        </w:rPr>
        <w:t>《中文核心期刊要目总览》</w:t>
      </w:r>
      <w:r>
        <w:rPr>
          <w:rFonts w:hint="eastAsia" w:ascii="仿宋" w:hAnsi="仿宋" w:eastAsia="仿宋" w:cs="仿宋"/>
          <w:b w:val="0"/>
          <w:bCs w:val="0"/>
          <w:sz w:val="32"/>
          <w:szCs w:val="32"/>
          <w:lang w:val="en-US" w:eastAsia="zh-CN"/>
        </w:rPr>
        <w:t>期刊杂志上发表的学术论文、著作按照当年知网发布的综合影响因子予以2000/分奖励。</w:t>
      </w:r>
    </w:p>
    <w:p w14:paraId="6A2180FA">
      <w:pPr>
        <w:numPr>
          <w:ilvl w:val="0"/>
          <w:numId w:val="1"/>
        </w:numPr>
        <w:ind w:left="-40" w:leftChars="0" w:firstLine="64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在国内其他核心期刊（统计源核心期刊等）发表学术论文、著作给予第一作者2000元奖励。</w:t>
      </w:r>
    </w:p>
    <w:p w14:paraId="70C9171B">
      <w:pPr>
        <w:numPr>
          <w:ilvl w:val="0"/>
          <w:numId w:val="0"/>
        </w:numPr>
        <w:ind w:left="600" w:left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方案二：</w:t>
      </w:r>
    </w:p>
    <w:p w14:paraId="5E9F1057">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1、SCI（科学引文索引）收录的、非增刊发表的原创研究性论文，按照10000元/分累加，封顶200000元。以Report（报告、汇报）等形式发表的SCI论文，按照中文核心期刊类发放奖励。</w:t>
      </w:r>
    </w:p>
    <w:p w14:paraId="0C3750AA">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2、在《中文核心期刊要目总览》期刊</w:t>
      </w:r>
      <w:r>
        <w:rPr>
          <w:rFonts w:hint="eastAsia" w:ascii="仿宋" w:hAnsi="仿宋" w:eastAsia="仿宋" w:cs="仿宋"/>
          <w:b w:val="0"/>
          <w:bCs w:val="0"/>
          <w:sz w:val="32"/>
          <w:szCs w:val="32"/>
          <w:lang w:val="en-US" w:eastAsia="zh-CN"/>
        </w:rPr>
        <w:t>杂志上发表的学术论文、著作给予第一作者4000元奖励。</w:t>
      </w:r>
    </w:p>
    <w:p w14:paraId="188FA858">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3、在统计源核心等其他核心期刊发表学术论文、著作给予第一作者2000元奖励。</w:t>
      </w:r>
    </w:p>
    <w:p w14:paraId="30B5419E">
      <w:pPr>
        <w:numPr>
          <w:ilvl w:val="0"/>
          <w:numId w:val="0"/>
        </w:numPr>
        <w:ind w:firstLine="640" w:firstLineChars="200"/>
        <w:jc w:val="both"/>
        <w:rPr>
          <w:rFonts w:hint="default" w:ascii="仿宋" w:hAnsi="仿宋" w:eastAsia="仿宋" w:cs="仿宋"/>
          <w:b w:val="0"/>
          <w:bCs w:val="0"/>
          <w:sz w:val="32"/>
          <w:szCs w:val="32"/>
          <w:lang w:val="en-US" w:eastAsia="zh-CN"/>
        </w:rPr>
      </w:pPr>
    </w:p>
    <w:p w14:paraId="51B67FD9">
      <w:pPr>
        <w:numPr>
          <w:ilvl w:val="0"/>
          <w:numId w:val="1"/>
        </w:numPr>
        <w:ind w:left="-40" w:leftChars="0" w:firstLine="64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以通讯作者发表的高水平论文，按照第一作者相应标准的30%发放奖励，版面费不予报销。</w:t>
      </w:r>
    </w:p>
    <w:p w14:paraId="4B61A58B">
      <w:pPr>
        <w:numPr>
          <w:ilvl w:val="0"/>
          <w:numId w:val="1"/>
        </w:numPr>
        <w:ind w:left="-40" w:leftChars="0" w:firstLine="64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被SCI等收录的学术论文申请奖励，须提交权威情报机构出具的检索报告或相关证明材料，在中科院《国际期刊预警名单》中发表的的论文，不列入奖励发放范围。</w:t>
      </w:r>
    </w:p>
    <w:p w14:paraId="07955C3E">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b w:val="0"/>
          <w:bCs w:val="0"/>
          <w:sz w:val="32"/>
          <w:szCs w:val="32"/>
          <w:lang w:val="en-US" w:eastAsia="zh-CN"/>
        </w:rPr>
        <w:t xml:space="preserve">  由国内外医药正式出版社出版发行，以我院为第一作者单位的学术著作、编著、译著、科普读物等予以奖励。</w:t>
      </w:r>
    </w:p>
    <w:p w14:paraId="5EC9DF0C">
      <w:pPr>
        <w:numPr>
          <w:ilvl w:val="0"/>
          <w:numId w:val="2"/>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普通高等教育本科国家级规划教材（教育部规划教材）、国家卫健委规划教材、全国高等学校本科临床医学专业等专业规划教材、全国高等学校医学规划教材（出版单位为全国百佳出版社），主编按照书价*300倍的金额发放奖励，副主编按照书价*200倍的金额发放奖励，编委按照书价*100倍的金额发放奖励。</w:t>
      </w:r>
    </w:p>
    <w:p w14:paraId="20E4E7DA">
      <w:pPr>
        <w:numPr>
          <w:ilvl w:val="0"/>
          <w:numId w:val="2"/>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以医院署名本院人员编撰的，由国家新闻出版总署批准的出版社出版的其他类型书籍，由医院根据出版书籍的质量、工作量以及学术影响力等综合决定奖励标准。</w:t>
      </w:r>
    </w:p>
    <w:p w14:paraId="7D82A7BF">
      <w:pPr>
        <w:numPr>
          <w:ilvl w:val="0"/>
          <w:numId w:val="2"/>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由医院资助出版并发行的，无奖励。</w:t>
      </w:r>
    </w:p>
    <w:p w14:paraId="559044B1">
      <w:pPr>
        <w:numPr>
          <w:ilvl w:val="0"/>
          <w:numId w:val="3"/>
        </w:numPr>
        <w:ind w:left="0" w:leftChars="0"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我院为产权所有人，申请发明、实用新型、外观设计型专利，在专利授权后，实用新型专利按照2000元/项、外观设计型专利按照5000元/项、发明专利按照10000元/项发放奖励；相关鉴定、评审等费用凭借正规发票据实报销。</w:t>
      </w:r>
    </w:p>
    <w:p w14:paraId="688869B3">
      <w:pPr>
        <w:numPr>
          <w:ilvl w:val="0"/>
          <w:numId w:val="0"/>
        </w:numPr>
        <w:ind w:leftChars="200"/>
        <w:jc w:val="both"/>
        <w:rPr>
          <w:rFonts w:hint="eastAsia" w:ascii="仿宋" w:hAnsi="仿宋" w:eastAsia="仿宋" w:cs="仿宋"/>
          <w:b w:val="0"/>
          <w:bCs w:val="0"/>
          <w:sz w:val="32"/>
          <w:szCs w:val="32"/>
          <w:lang w:val="en-US" w:eastAsia="zh-CN"/>
        </w:rPr>
      </w:pPr>
    </w:p>
    <w:p w14:paraId="4479214E">
      <w:pPr>
        <w:numPr>
          <w:ilvl w:val="0"/>
          <w:numId w:val="0"/>
        </w:numPr>
        <w:ind w:leftChars="200"/>
        <w:jc w:val="both"/>
        <w:rPr>
          <w:rFonts w:hint="eastAsia" w:ascii="仿宋" w:hAnsi="仿宋" w:eastAsia="仿宋" w:cs="仿宋"/>
          <w:b w:val="0"/>
          <w:bCs w:val="0"/>
          <w:sz w:val="32"/>
          <w:szCs w:val="32"/>
          <w:lang w:val="en-US" w:eastAsia="zh-CN"/>
        </w:rPr>
      </w:pPr>
    </w:p>
    <w:p w14:paraId="748D3576">
      <w:pPr>
        <w:numPr>
          <w:ilvl w:val="0"/>
          <w:numId w:val="0"/>
        </w:numPr>
        <w:ind w:leftChars="200"/>
        <w:jc w:val="both"/>
        <w:rPr>
          <w:rFonts w:hint="eastAsia" w:ascii="仿宋" w:hAnsi="仿宋" w:eastAsia="仿宋" w:cs="仿宋"/>
          <w:b w:val="0"/>
          <w:bCs w:val="0"/>
          <w:sz w:val="32"/>
          <w:szCs w:val="32"/>
          <w:lang w:val="en-US" w:eastAsia="zh-CN"/>
        </w:rPr>
      </w:pPr>
    </w:p>
    <w:p w14:paraId="0A9D3242">
      <w:pPr>
        <w:numPr>
          <w:ilvl w:val="0"/>
          <w:numId w:val="0"/>
        </w:numPr>
        <w:ind w:leftChars="200"/>
        <w:jc w:val="both"/>
        <w:rPr>
          <w:rFonts w:hint="eastAsia" w:ascii="仿宋" w:hAnsi="仿宋" w:eastAsia="仿宋" w:cs="仿宋"/>
          <w:b w:val="0"/>
          <w:bCs w:val="0"/>
          <w:sz w:val="32"/>
          <w:szCs w:val="32"/>
          <w:lang w:val="en-US" w:eastAsia="zh-CN"/>
        </w:rPr>
      </w:pPr>
    </w:p>
    <w:p w14:paraId="23AC9B00">
      <w:pPr>
        <w:numPr>
          <w:ilvl w:val="0"/>
          <w:numId w:val="0"/>
        </w:numPr>
        <w:ind w:leftChars="200"/>
        <w:jc w:val="both"/>
        <w:rPr>
          <w:rFonts w:hint="eastAsia" w:ascii="仿宋" w:hAnsi="仿宋" w:eastAsia="仿宋" w:cs="仿宋"/>
          <w:b w:val="0"/>
          <w:bCs w:val="0"/>
          <w:sz w:val="32"/>
          <w:szCs w:val="32"/>
          <w:lang w:val="en-US" w:eastAsia="zh-CN"/>
        </w:rPr>
      </w:pPr>
    </w:p>
    <w:p w14:paraId="0016675C">
      <w:pPr>
        <w:numPr>
          <w:ilvl w:val="0"/>
          <w:numId w:val="0"/>
        </w:numPr>
        <w:ind w:leftChars="200"/>
        <w:jc w:val="both"/>
        <w:rPr>
          <w:rFonts w:hint="eastAsia" w:ascii="仿宋" w:hAnsi="仿宋" w:eastAsia="仿宋" w:cs="仿宋"/>
          <w:b w:val="0"/>
          <w:bCs w:val="0"/>
          <w:sz w:val="32"/>
          <w:szCs w:val="32"/>
          <w:lang w:val="en-US" w:eastAsia="zh-CN"/>
        </w:rPr>
      </w:pPr>
    </w:p>
    <w:p w14:paraId="08216AE9">
      <w:pPr>
        <w:numPr>
          <w:ilvl w:val="0"/>
          <w:numId w:val="0"/>
        </w:numPr>
        <w:ind w:leftChars="200"/>
        <w:jc w:val="both"/>
        <w:rPr>
          <w:rFonts w:hint="eastAsia" w:ascii="仿宋" w:hAnsi="仿宋" w:eastAsia="仿宋" w:cs="仿宋"/>
          <w:b w:val="0"/>
          <w:bCs w:val="0"/>
          <w:sz w:val="32"/>
          <w:szCs w:val="32"/>
          <w:lang w:val="en-US" w:eastAsia="zh-CN"/>
        </w:rPr>
      </w:pPr>
    </w:p>
    <w:p w14:paraId="05388DA2">
      <w:pPr>
        <w:numPr>
          <w:ilvl w:val="0"/>
          <w:numId w:val="0"/>
        </w:numPr>
        <w:ind w:leftChars="200"/>
        <w:jc w:val="both"/>
        <w:rPr>
          <w:rFonts w:hint="eastAsia" w:ascii="仿宋" w:hAnsi="仿宋" w:eastAsia="仿宋" w:cs="仿宋"/>
          <w:b w:val="0"/>
          <w:bCs w:val="0"/>
          <w:sz w:val="32"/>
          <w:szCs w:val="32"/>
          <w:lang w:val="en-US" w:eastAsia="zh-CN"/>
        </w:rPr>
      </w:pPr>
    </w:p>
    <w:p w14:paraId="645315AF">
      <w:pPr>
        <w:numPr>
          <w:ilvl w:val="0"/>
          <w:numId w:val="0"/>
        </w:numPr>
        <w:ind w:leftChars="200"/>
        <w:jc w:val="both"/>
        <w:rPr>
          <w:rFonts w:hint="eastAsia" w:ascii="仿宋" w:hAnsi="仿宋" w:eastAsia="仿宋" w:cs="仿宋"/>
          <w:b w:val="0"/>
          <w:bCs w:val="0"/>
          <w:sz w:val="32"/>
          <w:szCs w:val="32"/>
          <w:lang w:val="en-US" w:eastAsia="zh-CN"/>
        </w:rPr>
      </w:pPr>
    </w:p>
    <w:p w14:paraId="1924BD81">
      <w:pPr>
        <w:numPr>
          <w:ilvl w:val="0"/>
          <w:numId w:val="0"/>
        </w:numPr>
        <w:jc w:val="both"/>
        <w:rPr>
          <w:rFonts w:hint="default" w:ascii="仿宋" w:hAnsi="仿宋" w:eastAsia="仿宋" w:cs="仿宋"/>
          <w:b w:val="0"/>
          <w:bCs w:val="0"/>
          <w:sz w:val="32"/>
          <w:szCs w:val="32"/>
          <w:lang w:val="en-US" w:eastAsia="zh-CN"/>
        </w:rPr>
      </w:pPr>
    </w:p>
    <w:p w14:paraId="7F4EF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全国百佳出版社名录</w:t>
      </w:r>
    </w:p>
    <w:p w14:paraId="5A7C09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1.社科类：安徽人民出版社、北京出版社、长春出版社、重庆出版社、党建读物出版社、法律出版社、湖南人民出版社、吉林出版集团有限责任公司、江苏人民出版社、江西人民出版社、解放军出版社、经济科学出版社、九州出版社、青岛出版社、山东人民出版社、商务印书馆、上海人民出版社、生活·读书·新知三联书店、外文出版社、学习出版社、知识产权出版社、中国财政经济出版社、中国大百科全书出版社、中国金融出版社、中国劳动社会保障出版社、中国民主法制出版社、中国青年出版社、中国社会出版社、中国时代经济出版社、中信出版社、中央编译出版社</w:t>
      </w:r>
    </w:p>
    <w:p w14:paraId="12168F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2.科技类：电子工业出版社、湖南科学技术出版社、化学工业出版社、机械工业出版社、江苏科学技术出版社、科学出版社、人民交通出版社、人民军医出版社、人民卫生出版社、人民邮电出版社、上海科学技术出版社、星球地图出版社、中国电力出版社、中国纺织出版社、中国建筑工业出版社、中国轻工业出版社、中国人口出版社、中国中医药出版社</w:t>
      </w:r>
    </w:p>
    <w:p w14:paraId="79D57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3.大学类：北京大学出版社、北京大学医学出版社、北京师范大学出版社、北京语言大学出版社、重庆大学出版社、东北财经大学出版社、复旦大学出版社、湖南师范大学出版社、华东师范大学出版社、清华大学出版社、上海外语教育出版社、外语教学与研究出版社、西安交通大学出版社、西南师范大学出版社、厦门大学出版社、浙江大学出版社、中国矿业大学出版社、中国人民大学出版社、中国人民公安大学出版社、中国政法大学出版社</w:t>
      </w:r>
    </w:p>
    <w:p w14:paraId="2D894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4.教育类：高等教育出版社、广东教育出版社、江苏教育出版社、教育科学出版社、人民教育出版社、浙江教育出版社、</w:t>
      </w:r>
    </w:p>
    <w:p w14:paraId="71B99F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5.古籍类：国家图书馆出版社、黄山书社、岳麓书社、中华书局</w:t>
      </w:r>
    </w:p>
    <w:p w14:paraId="779EF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6.少儿类：安徽少年儿童出版社、二十一世纪出版社、江苏少年儿童出版社、接力出版社、明天出版社、浙江少年儿童出版社</w:t>
      </w:r>
    </w:p>
    <w:p w14:paraId="00C2E8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7.美术类：安徽美术出版社、湖南美术出版社、吉林美术出版社、江苏美术出版社、江西美术出版社、浙江人民美术出版社</w:t>
      </w:r>
    </w:p>
    <w:p w14:paraId="1368F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AFA"/>
        <w:kinsoku/>
        <w:wordWrap/>
        <w:overflowPunct/>
        <w:topLinePunct w:val="0"/>
        <w:autoSpaceDE/>
        <w:autoSpaceDN/>
        <w:bidi w:val="0"/>
        <w:adjustRightInd/>
        <w:snapToGrid/>
        <w:spacing w:before="0" w:beforeAutospacing="0" w:after="0" w:afterAutospacing="0" w:line="240" w:lineRule="auto"/>
        <w:ind w:left="0" w:right="0" w:firstLine="435"/>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8.文艺类：长江文艺出版社、湖南文艺出版社、人民文学出版社、人民音乐出版社、上海文艺出版社、上海译文出版社、译林出版社、浙江摄影出版社、作家出版社</w:t>
      </w:r>
    </w:p>
    <w:p w14:paraId="61430D85">
      <w:pPr>
        <w:widowControl w:val="0"/>
        <w:numPr>
          <w:ilvl w:val="0"/>
          <w:numId w:val="0"/>
        </w:numPr>
        <w:jc w:val="both"/>
        <w:rPr>
          <w:rFonts w:hint="eastAsia" w:ascii="仿宋" w:hAnsi="仿宋" w:eastAsia="仿宋" w:cs="仿宋"/>
          <w:b w:val="0"/>
          <w:bCs w:val="0"/>
          <w:sz w:val="32"/>
          <w:szCs w:val="32"/>
          <w:lang w:val="en-US" w:eastAsia="zh-CN"/>
        </w:rPr>
      </w:pPr>
    </w:p>
    <w:p w14:paraId="50E963A1">
      <w:pPr>
        <w:widowControl w:val="0"/>
        <w:numPr>
          <w:ilvl w:val="0"/>
          <w:numId w:val="0"/>
        </w:numPr>
        <w:jc w:val="both"/>
        <w:rPr>
          <w:rFonts w:hint="eastAsia" w:ascii="仿宋" w:hAnsi="仿宋" w:eastAsia="仿宋" w:cs="仿宋"/>
          <w:b w:val="0"/>
          <w:bCs w:val="0"/>
          <w:sz w:val="32"/>
          <w:szCs w:val="32"/>
          <w:lang w:val="en-US" w:eastAsia="zh-CN"/>
        </w:rPr>
      </w:pPr>
    </w:p>
    <w:p w14:paraId="34087EB1">
      <w:pPr>
        <w:widowControl w:val="0"/>
        <w:numPr>
          <w:ilvl w:val="0"/>
          <w:numId w:val="0"/>
        </w:numPr>
        <w:jc w:val="both"/>
        <w:rPr>
          <w:rFonts w:hint="default" w:ascii="仿宋" w:hAnsi="仿宋" w:eastAsia="仿宋" w:cs="仿宋"/>
          <w:b w:val="0"/>
          <w:bCs w:val="0"/>
          <w:sz w:val="32"/>
          <w:szCs w:val="32"/>
          <w:lang w:val="en-US" w:eastAsia="zh-CN"/>
        </w:rPr>
      </w:pPr>
    </w:p>
    <w:p w14:paraId="2E04CC26">
      <w:pPr>
        <w:widowControl w:val="0"/>
        <w:numPr>
          <w:ilvl w:val="0"/>
          <w:numId w:val="0"/>
        </w:numPr>
        <w:jc w:val="both"/>
        <w:rPr>
          <w:rFonts w:hint="default" w:ascii="仿宋" w:hAnsi="仿宋" w:eastAsia="仿宋" w:cs="仿宋"/>
          <w:b w:val="0"/>
          <w:bCs w:val="0"/>
          <w:sz w:val="32"/>
          <w:szCs w:val="32"/>
          <w:lang w:val="en-US" w:eastAsia="zh-CN"/>
        </w:rPr>
      </w:pPr>
    </w:p>
    <w:p w14:paraId="79160A5C">
      <w:pPr>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第四章 学术会议</w:t>
      </w:r>
    </w:p>
    <w:p w14:paraId="57D76324">
      <w:pPr>
        <w:numPr>
          <w:ilvl w:val="0"/>
          <w:numId w:val="0"/>
        </w:num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lang w:val="en-US" w:eastAsia="zh-CN"/>
        </w:rPr>
        <w:t xml:space="preserve"> 学术会议奖励</w:t>
      </w:r>
    </w:p>
    <w:p w14:paraId="42397B86">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1、主办省级学术团体年会，给予10000元奖励，承办/协办/合办省级学术团体年会，给予5000元奖励。</w:t>
      </w:r>
    </w:p>
    <w:p w14:paraId="1016E06C">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2、主任委员为我院在职员工或挂靠我院的省级一类学会团体组织，给予20000元奖励。</w:t>
      </w:r>
    </w:p>
    <w:p w14:paraId="3B7AAE26">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3、主任委员为我院在职员工或挂靠我院的市级一类学会团体组织，给予10000元奖励。</w:t>
      </w:r>
    </w:p>
    <w:p w14:paraId="7CE55E57">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4、在全国一类学术团体举办的学术会议大会交流发言报告的专业技术人员，给予2000元/次的奖励。</w:t>
      </w:r>
    </w:p>
    <w:p w14:paraId="5A530F4D">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5、兼学术团体年会、继教等多层次一体的学术会议，按照最高标准举办会议仅给予一次奖励。</w:t>
      </w:r>
    </w:p>
    <w:p w14:paraId="333D7930">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6、所有学术会议举办必须有管理部门或学术组织发布的正式文件通知。</w:t>
      </w:r>
    </w:p>
    <w:p w14:paraId="503F79B6">
      <w:pPr>
        <w:numPr>
          <w:ilvl w:val="0"/>
          <w:numId w:val="0"/>
        </w:numPr>
        <w:jc w:val="center"/>
        <w:rPr>
          <w:rFonts w:hint="eastAsia" w:ascii="黑体" w:hAnsi="黑体" w:eastAsia="黑体" w:cs="黑体"/>
          <w:b/>
          <w:bCs/>
          <w:sz w:val="32"/>
          <w:szCs w:val="32"/>
          <w:lang w:val="en-US" w:eastAsia="zh-CN"/>
        </w:rPr>
      </w:pPr>
    </w:p>
    <w:p w14:paraId="2B494A1D">
      <w:pPr>
        <w:numPr>
          <w:ilvl w:val="0"/>
          <w:numId w:val="0"/>
        </w:numPr>
        <w:jc w:val="both"/>
        <w:rPr>
          <w:rFonts w:hint="eastAsia" w:ascii="黑体" w:hAnsi="黑体" w:eastAsia="黑体" w:cs="黑体"/>
          <w:b/>
          <w:bCs/>
          <w:sz w:val="32"/>
          <w:szCs w:val="32"/>
          <w:lang w:val="en-US" w:eastAsia="zh-CN"/>
        </w:rPr>
      </w:pPr>
    </w:p>
    <w:p w14:paraId="7F01C1FA">
      <w:pPr>
        <w:numPr>
          <w:ilvl w:val="0"/>
          <w:numId w:val="0"/>
        </w:numPr>
        <w:jc w:val="both"/>
        <w:rPr>
          <w:rFonts w:hint="eastAsia" w:ascii="黑体" w:hAnsi="黑体" w:eastAsia="黑体" w:cs="黑体"/>
          <w:b/>
          <w:bCs/>
          <w:sz w:val="32"/>
          <w:szCs w:val="32"/>
          <w:lang w:val="en-US" w:eastAsia="zh-CN"/>
        </w:rPr>
      </w:pPr>
    </w:p>
    <w:p w14:paraId="33605712">
      <w:pPr>
        <w:numPr>
          <w:ilvl w:val="0"/>
          <w:numId w:val="0"/>
        </w:numPr>
        <w:jc w:val="both"/>
        <w:rPr>
          <w:rFonts w:hint="eastAsia" w:ascii="黑体" w:hAnsi="黑体" w:eastAsia="黑体" w:cs="黑体"/>
          <w:b/>
          <w:bCs/>
          <w:sz w:val="32"/>
          <w:szCs w:val="32"/>
          <w:lang w:val="en-US" w:eastAsia="zh-CN"/>
        </w:rPr>
      </w:pPr>
    </w:p>
    <w:p w14:paraId="25A5FC21">
      <w:pPr>
        <w:numPr>
          <w:ilvl w:val="0"/>
          <w:numId w:val="0"/>
        </w:numPr>
        <w:jc w:val="both"/>
        <w:rPr>
          <w:rFonts w:hint="eastAsia" w:ascii="黑体" w:hAnsi="黑体" w:eastAsia="黑体" w:cs="黑体"/>
          <w:b/>
          <w:bCs/>
          <w:sz w:val="32"/>
          <w:szCs w:val="32"/>
          <w:lang w:val="en-US" w:eastAsia="zh-CN"/>
        </w:rPr>
      </w:pPr>
    </w:p>
    <w:p w14:paraId="03A7C3D2">
      <w:pPr>
        <w:numPr>
          <w:ilvl w:val="0"/>
          <w:numId w:val="0"/>
        </w:numPr>
        <w:jc w:val="both"/>
        <w:rPr>
          <w:rFonts w:hint="eastAsia" w:ascii="黑体" w:hAnsi="黑体" w:eastAsia="黑体" w:cs="黑体"/>
          <w:b/>
          <w:bCs/>
          <w:sz w:val="32"/>
          <w:szCs w:val="32"/>
          <w:lang w:val="en-US" w:eastAsia="zh-CN"/>
        </w:rPr>
      </w:pPr>
    </w:p>
    <w:p w14:paraId="0F20972C">
      <w:pPr>
        <w:numPr>
          <w:ilvl w:val="0"/>
          <w:numId w:val="0"/>
        </w:numPr>
        <w:jc w:val="both"/>
        <w:rPr>
          <w:rFonts w:hint="eastAsia" w:ascii="黑体" w:hAnsi="黑体" w:eastAsia="黑体" w:cs="黑体"/>
          <w:b/>
          <w:bCs/>
          <w:sz w:val="32"/>
          <w:szCs w:val="32"/>
          <w:lang w:val="en-US" w:eastAsia="zh-CN"/>
        </w:rPr>
      </w:pPr>
    </w:p>
    <w:p w14:paraId="78C4A598">
      <w:pPr>
        <w:numPr>
          <w:ilvl w:val="0"/>
          <w:numId w:val="0"/>
        </w:numPr>
        <w:jc w:val="both"/>
        <w:rPr>
          <w:rFonts w:hint="eastAsia" w:ascii="黑体" w:hAnsi="黑体" w:eastAsia="黑体" w:cs="黑体"/>
          <w:b/>
          <w:bCs/>
          <w:sz w:val="32"/>
          <w:szCs w:val="32"/>
          <w:lang w:val="en-US" w:eastAsia="zh-CN"/>
        </w:rPr>
      </w:pPr>
    </w:p>
    <w:p w14:paraId="42A52A01">
      <w:pPr>
        <w:numPr>
          <w:ilvl w:val="0"/>
          <w:numId w:val="0"/>
        </w:num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第五章 临床教学</w:t>
      </w:r>
    </w:p>
    <w:p w14:paraId="47BF317B">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b w:val="0"/>
          <w:bCs w:val="0"/>
          <w:sz w:val="32"/>
          <w:szCs w:val="32"/>
          <w:lang w:val="en-US" w:eastAsia="zh-CN"/>
        </w:rPr>
        <w:t xml:space="preserve"> 大专生教育、本科生教育、毕业后教育（全科医师转岗培训、住院医师规范化培训、基层卫生人才能力提升、进修实习）带教经费发放根据医院相关文件执行。</w:t>
      </w:r>
    </w:p>
    <w:p w14:paraId="296959FE">
      <w:pPr>
        <w:numPr>
          <w:ilvl w:val="0"/>
          <w:numId w:val="0"/>
        </w:numPr>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第十四条 教学管理</w:t>
      </w:r>
    </w:p>
    <w:p w14:paraId="7DA76B9E">
      <w:pPr>
        <w:numPr>
          <w:ilvl w:val="0"/>
          <w:numId w:val="4"/>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教学平台带教经费（培训基地、教学基地、培训中心等）。成功牵头创建各项教学平台，如培训基地、培训中心、示范基地等，可给予牵头科室发放5000元带教经费（各项平台、基地必须为卫健委、教育厅等主管部门发布认定）。</w:t>
      </w:r>
    </w:p>
    <w:p w14:paraId="006B3322">
      <w:pPr>
        <w:numPr>
          <w:ilvl w:val="0"/>
          <w:numId w:val="4"/>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教学科研经费。积极鼓励我院在职职工申报国家级、省级、市级教学科研课题。所有申报立项的教学科研课题资助与经费、科研成果经费等标准按“第二章科研项目”中市级标准发放。</w:t>
      </w:r>
    </w:p>
    <w:p w14:paraId="4CA5F18D">
      <w:pPr>
        <w:numPr>
          <w:ilvl w:val="0"/>
          <w:numId w:val="4"/>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教学论文奖励。我院在职职工以第一单位第一作者署名为“安医大二附院霍邱医院（霍邱县人民医院）”发表的教学论文，按“第三章论文著作专利”中标准执行。</w:t>
      </w:r>
    </w:p>
    <w:p w14:paraId="3067560E">
      <w:pPr>
        <w:numPr>
          <w:ilvl w:val="0"/>
          <w:numId w:val="0"/>
        </w:numPr>
        <w:jc w:val="both"/>
        <w:rPr>
          <w:rFonts w:hint="default" w:ascii="仿宋" w:hAnsi="仿宋" w:eastAsia="仿宋" w:cs="仿宋"/>
          <w:b w:val="0"/>
          <w:bCs w:val="0"/>
          <w:sz w:val="32"/>
          <w:szCs w:val="32"/>
          <w:lang w:val="en-US" w:eastAsia="zh-CN"/>
        </w:rPr>
      </w:pPr>
    </w:p>
    <w:p w14:paraId="4ADA1620">
      <w:pPr>
        <w:numPr>
          <w:ilvl w:val="0"/>
          <w:numId w:val="0"/>
        </w:numPr>
        <w:jc w:val="both"/>
        <w:rPr>
          <w:rFonts w:hint="default" w:ascii="仿宋" w:hAnsi="仿宋" w:eastAsia="仿宋" w:cs="仿宋"/>
          <w:b w:val="0"/>
          <w:bCs w:val="0"/>
          <w:sz w:val="32"/>
          <w:szCs w:val="32"/>
          <w:lang w:val="en-US" w:eastAsia="zh-CN"/>
        </w:rPr>
      </w:pPr>
    </w:p>
    <w:p w14:paraId="00002B88">
      <w:pPr>
        <w:numPr>
          <w:ilvl w:val="0"/>
          <w:numId w:val="0"/>
        </w:numPr>
        <w:jc w:val="both"/>
        <w:rPr>
          <w:rFonts w:hint="default" w:ascii="仿宋" w:hAnsi="仿宋" w:eastAsia="仿宋" w:cs="仿宋"/>
          <w:b w:val="0"/>
          <w:bCs w:val="0"/>
          <w:sz w:val="32"/>
          <w:szCs w:val="32"/>
          <w:lang w:val="en-US" w:eastAsia="zh-CN"/>
        </w:rPr>
      </w:pPr>
    </w:p>
    <w:p w14:paraId="00F4C342">
      <w:pPr>
        <w:numPr>
          <w:ilvl w:val="0"/>
          <w:numId w:val="0"/>
        </w:numPr>
        <w:jc w:val="both"/>
        <w:rPr>
          <w:rFonts w:hint="default" w:ascii="仿宋" w:hAnsi="仿宋" w:eastAsia="仿宋" w:cs="仿宋"/>
          <w:b w:val="0"/>
          <w:bCs w:val="0"/>
          <w:sz w:val="32"/>
          <w:szCs w:val="32"/>
          <w:lang w:val="en-US" w:eastAsia="zh-CN"/>
        </w:rPr>
      </w:pPr>
    </w:p>
    <w:p w14:paraId="2A70E4C8">
      <w:pPr>
        <w:numPr>
          <w:ilvl w:val="0"/>
          <w:numId w:val="0"/>
        </w:numPr>
        <w:jc w:val="both"/>
        <w:rPr>
          <w:rFonts w:hint="default" w:ascii="仿宋" w:hAnsi="仿宋" w:eastAsia="仿宋" w:cs="仿宋"/>
          <w:b w:val="0"/>
          <w:bCs w:val="0"/>
          <w:sz w:val="32"/>
          <w:szCs w:val="32"/>
          <w:lang w:val="en-US" w:eastAsia="zh-CN"/>
        </w:rPr>
      </w:pPr>
    </w:p>
    <w:p w14:paraId="4D2743C3">
      <w:pPr>
        <w:numPr>
          <w:ilvl w:val="0"/>
          <w:numId w:val="0"/>
        </w:numPr>
        <w:jc w:val="both"/>
        <w:rPr>
          <w:rFonts w:hint="default" w:ascii="仿宋" w:hAnsi="仿宋" w:eastAsia="仿宋" w:cs="仿宋"/>
          <w:b w:val="0"/>
          <w:bCs w:val="0"/>
          <w:sz w:val="32"/>
          <w:szCs w:val="32"/>
          <w:lang w:val="en-US" w:eastAsia="zh-CN"/>
        </w:rPr>
      </w:pPr>
    </w:p>
    <w:p w14:paraId="2AAC2E09">
      <w:pPr>
        <w:numPr>
          <w:ilvl w:val="0"/>
          <w:numId w:val="5"/>
        </w:numPr>
        <w:ind w:left="0" w:lef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附则</w:t>
      </w:r>
    </w:p>
    <w:p w14:paraId="230B2DBF">
      <w:pPr>
        <w:numPr>
          <w:ilvl w:val="0"/>
          <w:numId w:val="0"/>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b w:val="0"/>
          <w:bCs w:val="0"/>
          <w:sz w:val="32"/>
          <w:szCs w:val="32"/>
          <w:lang w:val="en-US" w:eastAsia="zh-CN"/>
        </w:rPr>
        <w:t xml:space="preserve"> 本办法自发布之日起予以试行，试行2年，</w:t>
      </w:r>
      <w:r>
        <w:rPr>
          <w:rFonts w:hint="eastAsia" w:ascii="仿宋" w:hAnsi="仿宋" w:eastAsia="仿宋" w:cs="仿宋"/>
          <w:sz w:val="32"/>
          <w:szCs w:val="32"/>
          <w:lang w:val="en-US" w:eastAsia="zh-CN"/>
        </w:rPr>
        <w:t>原文件规定与本办法有冲突的，按照本办法执行，同时原规定废止。</w:t>
      </w:r>
    </w:p>
    <w:p w14:paraId="2BCD98F6">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全院医务人员要恪守科学研究与学术规范，加强科研诚信和学术修养，严禁弄虚作假或剽窃他人成果、侵犯他人著作权或违法违规等情况，一经查实，追回相关报销经费和奖励，取消当年评先评优；给医院声誉造成严重影响者，按照《安徽省科研诚信管理办法（试行）》（皖科监﹝2021﹞3号）文件执行；涉及违法犯罪的移交司法机关处理。</w:t>
      </w:r>
    </w:p>
    <w:p w14:paraId="7D216F6A">
      <w:pPr>
        <w:numPr>
          <w:ilvl w:val="0"/>
          <w:numId w:val="0"/>
        </w:numPr>
        <w:ind w:firstLine="643"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b w:val="0"/>
          <w:bCs w:val="0"/>
          <w:sz w:val="32"/>
          <w:szCs w:val="32"/>
          <w:lang w:val="en-US" w:eastAsia="zh-CN"/>
        </w:rPr>
        <w:t xml:space="preserve"> 本办法由科教科负责解释，其他未尽事宜由医院学术委员会讨论，院长办公会、党委会研究决定。</w:t>
      </w:r>
    </w:p>
    <w:p w14:paraId="381C74E2">
      <w:pPr>
        <w:numPr>
          <w:ilvl w:val="0"/>
          <w:numId w:val="0"/>
        </w:numPr>
        <w:jc w:val="both"/>
        <w:rPr>
          <w:rFonts w:hint="default" w:ascii="仿宋" w:hAnsi="仿宋" w:eastAsia="仿宋" w:cs="仿宋"/>
          <w:b w:val="0"/>
          <w:bCs w:val="0"/>
          <w:sz w:val="32"/>
          <w:szCs w:val="32"/>
          <w:lang w:val="en-US" w:eastAsia="zh-CN"/>
        </w:rPr>
      </w:pPr>
    </w:p>
    <w:p w14:paraId="6EEEB4DD">
      <w:pPr>
        <w:numPr>
          <w:ilvl w:val="0"/>
          <w:numId w:val="0"/>
        </w:numPr>
        <w:ind w:leftChars="200"/>
        <w:jc w:val="both"/>
        <w:rPr>
          <w:rFonts w:hint="eastAsia" w:ascii="仿宋" w:hAnsi="仿宋" w:eastAsia="仿宋" w:cs="仿宋"/>
          <w:b w:val="0"/>
          <w:bCs w:val="0"/>
          <w:sz w:val="32"/>
          <w:szCs w:val="32"/>
          <w:lang w:val="en-US" w:eastAsia="zh-CN"/>
        </w:rPr>
      </w:pPr>
    </w:p>
    <w:p w14:paraId="5B47050D">
      <w:pPr>
        <w:numPr>
          <w:ilvl w:val="0"/>
          <w:numId w:val="0"/>
        </w:numPr>
        <w:ind w:leftChars="200"/>
        <w:jc w:val="both"/>
        <w:rPr>
          <w:rFonts w:hint="eastAsia" w:ascii="仿宋" w:hAnsi="仿宋" w:eastAsia="仿宋" w:cs="仿宋"/>
          <w:b w:val="0"/>
          <w:bCs w:val="0"/>
          <w:sz w:val="32"/>
          <w:szCs w:val="32"/>
          <w:lang w:val="en-US" w:eastAsia="zh-CN"/>
        </w:rPr>
      </w:pPr>
    </w:p>
    <w:p w14:paraId="631DAAF8">
      <w:pPr>
        <w:numPr>
          <w:ilvl w:val="0"/>
          <w:numId w:val="0"/>
        </w:numPr>
        <w:ind w:left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霍邱县人民医院</w:t>
      </w:r>
    </w:p>
    <w:p w14:paraId="79760453">
      <w:pPr>
        <w:numPr>
          <w:ilvl w:val="0"/>
          <w:numId w:val="0"/>
        </w:numPr>
        <w:ind w:left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2025年9月16日</w:t>
      </w:r>
    </w:p>
    <w:p w14:paraId="71D52D5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46591"/>
    <w:multiLevelType w:val="singleLevel"/>
    <w:tmpl w:val="85246591"/>
    <w:lvl w:ilvl="0" w:tentative="0">
      <w:start w:val="1"/>
      <w:numFmt w:val="decimal"/>
      <w:suff w:val="nothing"/>
      <w:lvlText w:val="%1、"/>
      <w:lvlJc w:val="left"/>
    </w:lvl>
  </w:abstractNum>
  <w:abstractNum w:abstractNumId="1">
    <w:nsid w:val="9D61E48F"/>
    <w:multiLevelType w:val="singleLevel"/>
    <w:tmpl w:val="9D61E48F"/>
    <w:lvl w:ilvl="0" w:tentative="0">
      <w:start w:val="11"/>
      <w:numFmt w:val="chineseCounting"/>
      <w:suff w:val="space"/>
      <w:lvlText w:val="第%1条"/>
      <w:lvlJc w:val="left"/>
      <w:rPr>
        <w:rFonts w:hint="eastAsia"/>
        <w:b/>
        <w:bCs/>
      </w:rPr>
    </w:lvl>
  </w:abstractNum>
  <w:abstractNum w:abstractNumId="2">
    <w:nsid w:val="BD7D669E"/>
    <w:multiLevelType w:val="singleLevel"/>
    <w:tmpl w:val="BD7D669E"/>
    <w:lvl w:ilvl="0" w:tentative="0">
      <w:start w:val="1"/>
      <w:numFmt w:val="decimal"/>
      <w:suff w:val="nothing"/>
      <w:lvlText w:val="%1、"/>
      <w:lvlJc w:val="left"/>
    </w:lvl>
  </w:abstractNum>
  <w:abstractNum w:abstractNumId="3">
    <w:nsid w:val="D9E4710D"/>
    <w:multiLevelType w:val="singleLevel"/>
    <w:tmpl w:val="D9E4710D"/>
    <w:lvl w:ilvl="0" w:tentative="0">
      <w:start w:val="1"/>
      <w:numFmt w:val="decimal"/>
      <w:suff w:val="nothing"/>
      <w:lvlText w:val="%1、"/>
      <w:lvlJc w:val="left"/>
      <w:pPr>
        <w:ind w:left="-40"/>
      </w:pPr>
    </w:lvl>
  </w:abstractNum>
  <w:abstractNum w:abstractNumId="4">
    <w:nsid w:val="490B2FE1"/>
    <w:multiLevelType w:val="singleLevel"/>
    <w:tmpl w:val="490B2FE1"/>
    <w:lvl w:ilvl="0" w:tentative="0">
      <w:start w:val="6"/>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YWRhZWE4OWRjYmNiNmRlYWEwYzBhMjY3N2NmMjQifQ=="/>
    <w:docVar w:name="KSO_WPS_MARK_KEY" w:val="c1e75c7b-1179-4bf5-9400-20737a3d6b4e"/>
  </w:docVars>
  <w:rsids>
    <w:rsidRoot w:val="71882F41"/>
    <w:rsid w:val="04A70AB0"/>
    <w:rsid w:val="05D073FC"/>
    <w:rsid w:val="06881553"/>
    <w:rsid w:val="07F50F44"/>
    <w:rsid w:val="0AE04D5F"/>
    <w:rsid w:val="0C097484"/>
    <w:rsid w:val="0CE374F0"/>
    <w:rsid w:val="0D3F1434"/>
    <w:rsid w:val="0DD245B9"/>
    <w:rsid w:val="0E3475BC"/>
    <w:rsid w:val="0E354231"/>
    <w:rsid w:val="1291600D"/>
    <w:rsid w:val="135320C4"/>
    <w:rsid w:val="14F6536F"/>
    <w:rsid w:val="151644E8"/>
    <w:rsid w:val="17924A37"/>
    <w:rsid w:val="17B64C29"/>
    <w:rsid w:val="1A4F0422"/>
    <w:rsid w:val="1A597836"/>
    <w:rsid w:val="1C3D700C"/>
    <w:rsid w:val="1FF57038"/>
    <w:rsid w:val="221E2CC6"/>
    <w:rsid w:val="225D7354"/>
    <w:rsid w:val="23403BE4"/>
    <w:rsid w:val="25F9462F"/>
    <w:rsid w:val="261A483B"/>
    <w:rsid w:val="271502E0"/>
    <w:rsid w:val="27DE2F25"/>
    <w:rsid w:val="2CAE0EE3"/>
    <w:rsid w:val="2D26412C"/>
    <w:rsid w:val="2E3647B5"/>
    <w:rsid w:val="2E563276"/>
    <w:rsid w:val="35886478"/>
    <w:rsid w:val="3AD810E2"/>
    <w:rsid w:val="3BDB0E70"/>
    <w:rsid w:val="3CA7331D"/>
    <w:rsid w:val="414E2AFD"/>
    <w:rsid w:val="4362785C"/>
    <w:rsid w:val="44E433F3"/>
    <w:rsid w:val="47334651"/>
    <w:rsid w:val="48D63691"/>
    <w:rsid w:val="4B8C7972"/>
    <w:rsid w:val="4DBD78D8"/>
    <w:rsid w:val="4FB73D8F"/>
    <w:rsid w:val="51B60F53"/>
    <w:rsid w:val="52210B4A"/>
    <w:rsid w:val="52AB3BEB"/>
    <w:rsid w:val="54AA7CCD"/>
    <w:rsid w:val="5699185F"/>
    <w:rsid w:val="57FE3C5A"/>
    <w:rsid w:val="58E05209"/>
    <w:rsid w:val="5D166DD2"/>
    <w:rsid w:val="5FDE6027"/>
    <w:rsid w:val="640E1394"/>
    <w:rsid w:val="65DD55F5"/>
    <w:rsid w:val="6861273D"/>
    <w:rsid w:val="688D40E3"/>
    <w:rsid w:val="6A04277C"/>
    <w:rsid w:val="6B516536"/>
    <w:rsid w:val="6BCE4EB6"/>
    <w:rsid w:val="6DF95101"/>
    <w:rsid w:val="6EB11040"/>
    <w:rsid w:val="6ECB4C5C"/>
    <w:rsid w:val="71882F41"/>
    <w:rsid w:val="71884B9B"/>
    <w:rsid w:val="74E419D3"/>
    <w:rsid w:val="7592517C"/>
    <w:rsid w:val="75FA0C37"/>
    <w:rsid w:val="76286F0E"/>
    <w:rsid w:val="76672C92"/>
    <w:rsid w:val="7A733AFF"/>
    <w:rsid w:val="7B271F53"/>
    <w:rsid w:val="7BE55412"/>
    <w:rsid w:val="7F975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4703</Words>
  <Characters>4904</Characters>
  <Lines>0</Lines>
  <Paragraphs>0</Paragraphs>
  <TotalTime>6</TotalTime>
  <ScaleCrop>false</ScaleCrop>
  <LinksUpToDate>false</LinksUpToDate>
  <CharactersWithSpaces>5009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2022-10-25T01:53:00Z</dcterms:created>
  <dc:creator>kjk</dc:creator>
  <cp:lastModifiedBy>梁老师的他</cp:lastModifiedBy>
  <cp:lastPrinted>2025-09-22T00:29:00Z</cp:lastPrinted>
  <dcterms:modified xsi:type="dcterms:W3CDTF">2025-09-22T01:09:19Z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FCA5EA02335A41829D2640A11137E1A4_13</vt:lpwstr>
  </property>
  <property fmtid="{D5CDD505-2E9C-101B-9397-08002B2CF9AE}" pid="4" name="KSOTemplateDocerSaveRecord">
    <vt:lpwstr>eyJoZGlkIjoiYzQ1M2RkMDg3ODkxYTVmYTY3NzY1M2FkMWE3OGJlMTciLCJ1c2VySWQiOiI0NDM1NzE5NzQifQ==</vt:lpwstr>
  </property>
</Properties>
</file>